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CE" w:rsidRPr="00C85E62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F8EF7F1" wp14:editId="4ACAA859">
            <wp:simplePos x="0" y="0"/>
            <wp:positionH relativeFrom="column">
              <wp:posOffset>4633595</wp:posOffset>
            </wp:positionH>
            <wp:positionV relativeFrom="paragraph">
              <wp:posOffset>0</wp:posOffset>
            </wp:positionV>
            <wp:extent cx="728980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0885" y="21329"/>
                <wp:lineTo x="208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E62">
        <w:rPr>
          <w:b/>
          <w:bCs/>
          <w:noProof/>
          <w:sz w:val="20"/>
          <w:szCs w:val="20"/>
        </w:rPr>
        <w:t>Animal Reproduction Science</w:t>
      </w:r>
      <w:r>
        <w:rPr>
          <w:b/>
          <w:bCs/>
          <w:noProof/>
          <w:sz w:val="20"/>
          <w:szCs w:val="20"/>
        </w:rPr>
        <w:t>,</w:t>
      </w:r>
      <w:r w:rsidRPr="00C85E62">
        <w:rPr>
          <w:b/>
          <w:bCs/>
          <w:noProof/>
          <w:sz w:val="20"/>
          <w:szCs w:val="20"/>
        </w:rPr>
        <w:t xml:space="preserve"> </w:t>
      </w:r>
      <w:r>
        <w:rPr>
          <w:b/>
          <w:bCs/>
          <w:noProof/>
          <w:sz w:val="20"/>
          <w:szCs w:val="20"/>
        </w:rPr>
        <w:t xml:space="preserve">Vol. </w:t>
      </w:r>
      <w:r w:rsidRPr="00C85E62">
        <w:rPr>
          <w:b/>
          <w:bCs/>
          <w:noProof/>
          <w:sz w:val="20"/>
          <w:szCs w:val="20"/>
        </w:rPr>
        <w:t>124</w:t>
      </w:r>
      <w:r>
        <w:rPr>
          <w:b/>
          <w:bCs/>
          <w:noProof/>
          <w:sz w:val="20"/>
          <w:szCs w:val="20"/>
        </w:rPr>
        <w:t xml:space="preserve">; </w:t>
      </w:r>
      <w:r w:rsidRPr="00C85E62">
        <w:rPr>
          <w:b/>
          <w:bCs/>
          <w:noProof/>
          <w:sz w:val="20"/>
          <w:szCs w:val="20"/>
        </w:rPr>
        <w:t xml:space="preserve"> </w:t>
      </w:r>
      <w:r>
        <w:rPr>
          <w:b/>
          <w:bCs/>
          <w:noProof/>
          <w:sz w:val="20"/>
          <w:szCs w:val="20"/>
        </w:rPr>
        <w:t>pp.</w:t>
      </w:r>
      <w:r w:rsidRPr="00C85E62">
        <w:rPr>
          <w:b/>
          <w:bCs/>
          <w:noProof/>
          <w:sz w:val="20"/>
          <w:szCs w:val="20"/>
        </w:rPr>
        <w:t xml:space="preserve"> 69–72</w:t>
      </w:r>
      <w:proofErr w:type="gramStart"/>
      <w:r w:rsidRPr="00C85E62">
        <w:rPr>
          <w:b/>
          <w:bCs/>
          <w:noProof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 2011</w:t>
      </w:r>
      <w:proofErr w:type="gramEnd"/>
      <w:r>
        <w:rPr>
          <w:b/>
          <w:bCs/>
          <w:sz w:val="20"/>
          <w:szCs w:val="20"/>
        </w:rPr>
        <w:t>.</w:t>
      </w:r>
    </w:p>
    <w:p w:rsidR="006178CE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b/>
          <w:bCs/>
          <w:noProof/>
          <w:sz w:val="20"/>
          <w:szCs w:val="20"/>
        </w:rPr>
      </w:pPr>
      <w:r w:rsidRPr="00C85E62">
        <w:rPr>
          <w:b/>
          <w:bCs/>
          <w:noProof/>
          <w:sz w:val="20"/>
          <w:szCs w:val="20"/>
        </w:rPr>
        <w:t>ISSN: 0378-4320</w:t>
      </w:r>
      <w:r>
        <w:rPr>
          <w:b/>
          <w:bCs/>
          <w:noProof/>
          <w:sz w:val="20"/>
          <w:szCs w:val="20"/>
        </w:rPr>
        <w:t>.</w:t>
      </w:r>
    </w:p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 xml:space="preserve">IMPACT FACTOR= </w:t>
      </w:r>
      <w:r w:rsidRPr="008917D5">
        <w:rPr>
          <w:b/>
          <w:bCs/>
          <w:color w:val="000080"/>
          <w:lang w:bidi="ar-EG"/>
        </w:rPr>
        <w:t>1.721</w:t>
      </w:r>
    </w:p>
    <w:p w:rsidR="006178CE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rFonts w:ascii="Times-Roman" w:hAnsi="Times-Roman" w:cs="Times-Roman"/>
          <w:sz w:val="22"/>
          <w:szCs w:val="22"/>
        </w:rPr>
      </w:pPr>
    </w:p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jc w:val="center"/>
        <w:rPr>
          <w:b/>
          <w:bCs/>
          <w:color w:val="000080"/>
        </w:rPr>
      </w:pPr>
      <w:bookmarkStart w:id="0" w:name="_GoBack"/>
      <w:r w:rsidRPr="005058A5">
        <w:rPr>
          <w:b/>
          <w:bCs/>
          <w:color w:val="000080"/>
        </w:rPr>
        <w:t>Plasma urea nitrogen in relation to pregnancy rate in dairy sheep</w:t>
      </w:r>
    </w:p>
    <w:bookmarkEnd w:id="0"/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jc w:val="center"/>
        <w:rPr>
          <w:b/>
          <w:bCs/>
          <w:color w:val="000080"/>
        </w:rPr>
      </w:pPr>
    </w:p>
    <w:p w:rsidR="006178CE" w:rsidRPr="005058A5" w:rsidRDefault="006178CE" w:rsidP="006178CE">
      <w:pPr>
        <w:autoSpaceDE w:val="0"/>
        <w:autoSpaceDN w:val="0"/>
        <w:bidi w:val="0"/>
        <w:adjustRightInd w:val="0"/>
        <w:rPr>
          <w:rFonts w:eastAsia="GulliverRM"/>
          <w:color w:val="000066"/>
          <w:sz w:val="20"/>
          <w:szCs w:val="20"/>
        </w:rPr>
      </w:pPr>
      <w:r w:rsidRPr="005058A5">
        <w:rPr>
          <w:rFonts w:eastAsia="GulliverRM"/>
          <w:b/>
          <w:bCs/>
          <w:color w:val="993300"/>
          <w:sz w:val="20"/>
          <w:szCs w:val="20"/>
        </w:rPr>
        <w:t xml:space="preserve">A.M. </w:t>
      </w:r>
      <w:proofErr w:type="spellStart"/>
      <w:r w:rsidRPr="005058A5">
        <w:rPr>
          <w:rFonts w:eastAsia="GulliverRM"/>
          <w:b/>
          <w:bCs/>
          <w:color w:val="993300"/>
          <w:sz w:val="20"/>
          <w:szCs w:val="20"/>
        </w:rPr>
        <w:t>Karena</w:t>
      </w:r>
      <w:proofErr w:type="gramStart"/>
      <w:r w:rsidRPr="005058A5">
        <w:rPr>
          <w:rFonts w:eastAsia="GulliverRM"/>
          <w:color w:val="000000"/>
          <w:sz w:val="20"/>
          <w:szCs w:val="20"/>
          <w:vertAlign w:val="superscript"/>
        </w:rPr>
        <w:t>,</w:t>
      </w:r>
      <w:r w:rsidRPr="005058A5">
        <w:rPr>
          <w:rFonts w:eastAsia="MTSY"/>
          <w:color w:val="000066"/>
          <w:sz w:val="20"/>
          <w:szCs w:val="20"/>
          <w:vertAlign w:val="superscript"/>
        </w:rPr>
        <w:t>A</w:t>
      </w:r>
      <w:proofErr w:type="spellEnd"/>
      <w:proofErr w:type="gramEnd"/>
      <w:r w:rsidRPr="005058A5">
        <w:rPr>
          <w:rFonts w:eastAsia="GulliverRM"/>
          <w:color w:val="000000"/>
          <w:sz w:val="20"/>
          <w:szCs w:val="20"/>
          <w:vertAlign w:val="superscript"/>
        </w:rPr>
        <w:t>,</w:t>
      </w:r>
      <w:r w:rsidRPr="005058A5">
        <w:rPr>
          <w:rFonts w:eastAsia="GulliverRM"/>
          <w:color w:val="000000"/>
          <w:sz w:val="20"/>
          <w:szCs w:val="20"/>
        </w:rPr>
        <w:t xml:space="preserve"> P.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Kovács</w:t>
      </w:r>
      <w:r w:rsidRPr="005058A5">
        <w:rPr>
          <w:rFonts w:eastAsia="GulliverRM"/>
          <w:color w:val="000066"/>
          <w:sz w:val="20"/>
          <w:szCs w:val="20"/>
          <w:vertAlign w:val="superscript"/>
        </w:rPr>
        <w:t>b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, J.F.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Beckers</w:t>
      </w:r>
      <w:r w:rsidRPr="005058A5">
        <w:rPr>
          <w:rFonts w:eastAsia="GulliverRM"/>
          <w:color w:val="000066"/>
          <w:sz w:val="20"/>
          <w:szCs w:val="20"/>
          <w:vertAlign w:val="superscript"/>
        </w:rPr>
        <w:t>c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, N.M. de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Sousa</w:t>
      </w:r>
      <w:r w:rsidRPr="005058A5">
        <w:rPr>
          <w:rFonts w:eastAsia="GulliverRM"/>
          <w:color w:val="000066"/>
          <w:sz w:val="20"/>
          <w:szCs w:val="20"/>
          <w:vertAlign w:val="superscript"/>
        </w:rPr>
        <w:t>c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, O.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Szenci</w:t>
      </w:r>
      <w:r w:rsidRPr="005058A5">
        <w:rPr>
          <w:rFonts w:eastAsia="GulliverRM"/>
          <w:color w:val="000066"/>
          <w:sz w:val="20"/>
          <w:szCs w:val="20"/>
          <w:vertAlign w:val="superscript"/>
        </w:rPr>
        <w:t>d</w:t>
      </w:r>
      <w:proofErr w:type="spellEnd"/>
    </w:p>
    <w:p w:rsidR="006178CE" w:rsidRPr="00D206E1" w:rsidRDefault="006178CE" w:rsidP="006178CE">
      <w:pPr>
        <w:autoSpaceDE w:val="0"/>
        <w:autoSpaceDN w:val="0"/>
        <w:bidi w:val="0"/>
        <w:adjustRightInd w:val="0"/>
        <w:rPr>
          <w:rFonts w:eastAsia="GulliverRM"/>
          <w:b/>
          <w:bCs/>
          <w:sz w:val="20"/>
          <w:szCs w:val="20"/>
        </w:rPr>
      </w:pPr>
      <w:proofErr w:type="gramStart"/>
      <w:r w:rsidRPr="00D206E1">
        <w:rPr>
          <w:rFonts w:eastAsia="GulliverRM"/>
          <w:b/>
          <w:bCs/>
          <w:sz w:val="20"/>
          <w:szCs w:val="20"/>
          <w:vertAlign w:val="superscript"/>
        </w:rPr>
        <w:t>a</w:t>
      </w:r>
      <w:proofErr w:type="gramEnd"/>
      <w:r w:rsidRPr="00D206E1">
        <w:rPr>
          <w:rFonts w:eastAsia="GulliverRM"/>
          <w:b/>
          <w:bCs/>
          <w:sz w:val="20"/>
          <w:szCs w:val="20"/>
        </w:rPr>
        <w:t xml:space="preserve"> Department of </w:t>
      </w:r>
      <w:proofErr w:type="spellStart"/>
      <w:r w:rsidRPr="00D206E1">
        <w:rPr>
          <w:rFonts w:eastAsia="GulliverRM"/>
          <w:b/>
          <w:bCs/>
          <w:sz w:val="20"/>
          <w:szCs w:val="20"/>
        </w:rPr>
        <w:t>Theriogenology</w:t>
      </w:r>
      <w:proofErr w:type="spellEnd"/>
      <w:r w:rsidRPr="00D206E1">
        <w:rPr>
          <w:rFonts w:eastAsia="GulliverRM"/>
          <w:b/>
          <w:bCs/>
          <w:sz w:val="20"/>
          <w:szCs w:val="20"/>
        </w:rPr>
        <w:t xml:space="preserve">, Faculty of Veterinary Medicine, </w:t>
      </w:r>
      <w:proofErr w:type="spellStart"/>
      <w:r w:rsidRPr="00D206E1">
        <w:rPr>
          <w:rFonts w:eastAsia="GulliverRM"/>
          <w:b/>
          <w:bCs/>
          <w:sz w:val="20"/>
          <w:szCs w:val="20"/>
        </w:rPr>
        <w:t>Kafrelsheikh</w:t>
      </w:r>
      <w:proofErr w:type="spellEnd"/>
      <w:r w:rsidRPr="00D206E1">
        <w:rPr>
          <w:rFonts w:eastAsia="GulliverRM"/>
          <w:b/>
          <w:bCs/>
          <w:sz w:val="20"/>
          <w:szCs w:val="20"/>
        </w:rPr>
        <w:t xml:space="preserve"> University, Egypt</w:t>
      </w:r>
    </w:p>
    <w:p w:rsidR="006178CE" w:rsidRPr="005058A5" w:rsidRDefault="006178CE" w:rsidP="006178CE">
      <w:pPr>
        <w:autoSpaceDE w:val="0"/>
        <w:autoSpaceDN w:val="0"/>
        <w:bidi w:val="0"/>
        <w:adjustRightInd w:val="0"/>
        <w:rPr>
          <w:rFonts w:eastAsia="GulliverRM"/>
          <w:color w:val="000000"/>
          <w:sz w:val="20"/>
          <w:szCs w:val="20"/>
        </w:rPr>
      </w:pPr>
      <w:proofErr w:type="gramStart"/>
      <w:r w:rsidRPr="005058A5">
        <w:rPr>
          <w:rFonts w:eastAsia="GulliverRM"/>
          <w:color w:val="000000"/>
          <w:sz w:val="20"/>
          <w:szCs w:val="20"/>
          <w:vertAlign w:val="superscript"/>
        </w:rPr>
        <w:t>b</w:t>
      </w:r>
      <w:proofErr w:type="gramEnd"/>
      <w:r w:rsidRPr="005058A5">
        <w:rPr>
          <w:rFonts w:eastAsia="GulliverRM"/>
          <w:color w:val="000000"/>
          <w:sz w:val="20"/>
          <w:szCs w:val="20"/>
        </w:rPr>
        <w:t xml:space="preserve">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Awassi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 Rt., </w:t>
      </w:r>
      <w:proofErr w:type="spellStart"/>
      <w:smartTag w:uri="urn:schemas-microsoft-com:office:smarttags" w:element="place">
        <w:smartTag w:uri="urn:schemas-microsoft-com:office:smarttags" w:element="City">
          <w:r w:rsidRPr="005058A5">
            <w:rPr>
              <w:rFonts w:eastAsia="GulliverRM"/>
              <w:color w:val="000000"/>
              <w:sz w:val="20"/>
              <w:szCs w:val="20"/>
            </w:rPr>
            <w:t>Bakonszeg</w:t>
          </w:r>
        </w:smartTag>
        <w:proofErr w:type="spellEnd"/>
        <w:r w:rsidRPr="005058A5">
          <w:rPr>
            <w:rFonts w:eastAsia="GulliverRM"/>
            <w:color w:val="000000"/>
            <w:sz w:val="20"/>
            <w:szCs w:val="20"/>
          </w:rPr>
          <w:t xml:space="preserve">, </w:t>
        </w:r>
        <w:smartTag w:uri="urn:schemas-microsoft-com:office:smarttags" w:element="country-region">
          <w:r w:rsidRPr="005058A5">
            <w:rPr>
              <w:rFonts w:eastAsia="GulliverRM"/>
              <w:color w:val="000000"/>
              <w:sz w:val="20"/>
              <w:szCs w:val="20"/>
            </w:rPr>
            <w:t>Hungary</w:t>
          </w:r>
        </w:smartTag>
      </w:smartTag>
    </w:p>
    <w:p w:rsidR="006178CE" w:rsidRPr="005058A5" w:rsidRDefault="006178CE" w:rsidP="006178CE">
      <w:pPr>
        <w:autoSpaceDE w:val="0"/>
        <w:autoSpaceDN w:val="0"/>
        <w:bidi w:val="0"/>
        <w:adjustRightInd w:val="0"/>
        <w:rPr>
          <w:rFonts w:eastAsia="GulliverRM"/>
          <w:color w:val="000000"/>
          <w:sz w:val="20"/>
          <w:szCs w:val="20"/>
        </w:rPr>
      </w:pPr>
      <w:proofErr w:type="gramStart"/>
      <w:r w:rsidRPr="005058A5">
        <w:rPr>
          <w:rFonts w:eastAsia="GulliverRM"/>
          <w:color w:val="000000"/>
          <w:sz w:val="20"/>
          <w:szCs w:val="20"/>
          <w:vertAlign w:val="superscript"/>
        </w:rPr>
        <w:t>c</w:t>
      </w:r>
      <w:proofErr w:type="gramEnd"/>
      <w:r w:rsidRPr="005058A5">
        <w:rPr>
          <w:rFonts w:eastAsia="GulliverRM"/>
          <w:color w:val="000000"/>
          <w:sz w:val="20"/>
          <w:szCs w:val="20"/>
        </w:rPr>
        <w:t xml:space="preserve"> Department of Physiology of Reproduction, Faculty of Veterinary Medicine, </w:t>
      </w:r>
      <w:smartTag w:uri="urn:schemas-microsoft-com:office:smarttags" w:element="place">
        <w:smartTag w:uri="urn:schemas-microsoft-com:office:smarttags" w:element="City">
          <w:r w:rsidRPr="005058A5">
            <w:rPr>
              <w:rFonts w:eastAsia="GulliverRM"/>
              <w:color w:val="000000"/>
              <w:sz w:val="20"/>
              <w:szCs w:val="20"/>
            </w:rPr>
            <w:t>University of Liege</w:t>
          </w:r>
        </w:smartTag>
        <w:r w:rsidRPr="005058A5">
          <w:rPr>
            <w:rFonts w:eastAsia="GulliverRM"/>
            <w:color w:val="000000"/>
            <w:sz w:val="20"/>
            <w:szCs w:val="20"/>
          </w:rPr>
          <w:t xml:space="preserve">, </w:t>
        </w:r>
        <w:smartTag w:uri="urn:schemas-microsoft-com:office:smarttags" w:element="country-region">
          <w:r w:rsidRPr="005058A5">
            <w:rPr>
              <w:rFonts w:eastAsia="GulliverRM"/>
              <w:color w:val="000000"/>
              <w:sz w:val="20"/>
              <w:szCs w:val="20"/>
            </w:rPr>
            <w:t>Belgium</w:t>
          </w:r>
        </w:smartTag>
      </w:smartTag>
    </w:p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rFonts w:eastAsia="GulliverRM"/>
          <w:color w:val="000000"/>
          <w:sz w:val="20"/>
          <w:szCs w:val="20"/>
        </w:rPr>
      </w:pPr>
      <w:proofErr w:type="gramStart"/>
      <w:r w:rsidRPr="005058A5">
        <w:rPr>
          <w:rFonts w:eastAsia="GulliverRM"/>
          <w:color w:val="000000"/>
          <w:sz w:val="20"/>
          <w:szCs w:val="20"/>
          <w:vertAlign w:val="superscript"/>
        </w:rPr>
        <w:t>d</w:t>
      </w:r>
      <w:proofErr w:type="gramEnd"/>
      <w:r w:rsidRPr="005058A5">
        <w:rPr>
          <w:rFonts w:eastAsia="GulliverRM"/>
          <w:color w:val="000000"/>
          <w:sz w:val="20"/>
          <w:szCs w:val="20"/>
        </w:rPr>
        <w:t xml:space="preserve"> Clinic for Large Animals, Faculty of Veterinary Science, </w:t>
      </w:r>
      <w:proofErr w:type="spellStart"/>
      <w:smartTag w:uri="urn:schemas-microsoft-com:office:smarttags" w:element="PlaceName">
        <w:r w:rsidRPr="005058A5">
          <w:rPr>
            <w:rFonts w:eastAsia="GulliverRM"/>
            <w:color w:val="000000"/>
            <w:sz w:val="20"/>
            <w:szCs w:val="20"/>
          </w:rPr>
          <w:t>Szent</w:t>
        </w:r>
      </w:smartTag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 </w:t>
      </w:r>
      <w:proofErr w:type="spellStart"/>
      <w:smartTag w:uri="urn:schemas-microsoft-com:office:smarttags" w:element="PlaceName">
        <w:r w:rsidRPr="005058A5">
          <w:rPr>
            <w:rFonts w:eastAsia="GulliverRM"/>
            <w:color w:val="000000"/>
            <w:sz w:val="20"/>
            <w:szCs w:val="20"/>
          </w:rPr>
          <w:t>István</w:t>
        </w:r>
      </w:smartTag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 </w:t>
      </w:r>
      <w:smartTag w:uri="urn:schemas-microsoft-com:office:smarttags" w:element="PlaceType">
        <w:r w:rsidRPr="005058A5">
          <w:rPr>
            <w:rFonts w:eastAsia="GulliverRM"/>
            <w:color w:val="000000"/>
            <w:sz w:val="20"/>
            <w:szCs w:val="20"/>
          </w:rPr>
          <w:t>University</w:t>
        </w:r>
      </w:smartTag>
      <w:r w:rsidRPr="005058A5">
        <w:rPr>
          <w:rFonts w:eastAsia="GulliverRM"/>
          <w:color w:val="000000"/>
          <w:sz w:val="20"/>
          <w:szCs w:val="20"/>
        </w:rPr>
        <w:t xml:space="preserve">, H-2225 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Üll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 ˝ o-</w:t>
      </w:r>
      <w:proofErr w:type="spellStart"/>
      <w:r w:rsidRPr="005058A5">
        <w:rPr>
          <w:rFonts w:eastAsia="GulliverRM"/>
          <w:color w:val="000000"/>
          <w:sz w:val="20"/>
          <w:szCs w:val="20"/>
        </w:rPr>
        <w:t>Dóra</w:t>
      </w:r>
      <w:proofErr w:type="spellEnd"/>
      <w:r w:rsidRPr="005058A5">
        <w:rPr>
          <w:rFonts w:eastAsia="GulliverRM"/>
          <w:color w:val="000000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058A5">
            <w:rPr>
              <w:rFonts w:eastAsia="GulliverRM"/>
              <w:color w:val="000000"/>
              <w:sz w:val="20"/>
              <w:szCs w:val="20"/>
            </w:rPr>
            <w:t>Major</w:t>
          </w:r>
        </w:smartTag>
        <w:r w:rsidRPr="005058A5">
          <w:rPr>
            <w:rFonts w:eastAsia="GulliverRM"/>
            <w:color w:val="000000"/>
            <w:sz w:val="20"/>
            <w:szCs w:val="20"/>
          </w:rPr>
          <w:t xml:space="preserve">, </w:t>
        </w:r>
        <w:smartTag w:uri="urn:schemas-microsoft-com:office:smarttags" w:element="country-region">
          <w:r w:rsidRPr="005058A5">
            <w:rPr>
              <w:rFonts w:eastAsia="GulliverRM"/>
              <w:color w:val="000000"/>
              <w:sz w:val="20"/>
              <w:szCs w:val="20"/>
            </w:rPr>
            <w:t>Hungary</w:t>
          </w:r>
        </w:smartTag>
      </w:smartTag>
    </w:p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rPr>
          <w:rFonts w:eastAsia="GulliverRM"/>
          <w:color w:val="000000"/>
          <w:sz w:val="20"/>
          <w:szCs w:val="20"/>
        </w:rPr>
      </w:pPr>
    </w:p>
    <w:p w:rsidR="006178CE" w:rsidRPr="005058A5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jc w:val="center"/>
        <w:rPr>
          <w:b/>
          <w:bCs/>
        </w:rPr>
      </w:pPr>
      <w:r>
        <w:rPr>
          <w:b/>
          <w:bCs/>
        </w:rPr>
        <w:t>ABSTRACT</w:t>
      </w:r>
    </w:p>
    <w:p w:rsidR="006178CE" w:rsidRDefault="006178CE" w:rsidP="006178CE">
      <w:pPr>
        <w:tabs>
          <w:tab w:val="left" w:pos="1909"/>
        </w:tabs>
        <w:autoSpaceDE w:val="0"/>
        <w:autoSpaceDN w:val="0"/>
        <w:bidi w:val="0"/>
        <w:adjustRightInd w:val="0"/>
        <w:jc w:val="both"/>
      </w:pPr>
      <w:r w:rsidRPr="005058A5">
        <w:t>The aim of this field study was to investigate the relationship of plasma urea nitrogen (PUN)</w:t>
      </w:r>
      <w:r>
        <w:t xml:space="preserve"> </w:t>
      </w:r>
      <w:r w:rsidRPr="005058A5">
        <w:t xml:space="preserve">with the pregnancy rate in lactating </w:t>
      </w:r>
      <w:proofErr w:type="spellStart"/>
      <w:r w:rsidRPr="005058A5">
        <w:t>Awassi×</w:t>
      </w:r>
      <w:r>
        <w:t>Merino</w:t>
      </w:r>
      <w:proofErr w:type="spellEnd"/>
      <w:r>
        <w:t xml:space="preserve"> ewes. </w:t>
      </w:r>
      <w:r w:rsidRPr="005058A5">
        <w:t>One hundred and eighty-five</w:t>
      </w:r>
      <w:r>
        <w:t xml:space="preserve"> </w:t>
      </w:r>
      <w:proofErr w:type="spellStart"/>
      <w:r w:rsidRPr="005058A5">
        <w:t>Awassi×Merin</w:t>
      </w:r>
      <w:r>
        <w:t>o</w:t>
      </w:r>
      <w:proofErr w:type="spellEnd"/>
      <w:r>
        <w:t xml:space="preserve"> ewes were used in the present </w:t>
      </w:r>
      <w:r w:rsidRPr="005058A5">
        <w:t>study. Ewes were fed a diet containing</w:t>
      </w:r>
      <w:r>
        <w:t xml:space="preserve"> </w:t>
      </w:r>
      <w:r w:rsidRPr="005058A5">
        <w:t>17.4</w:t>
      </w:r>
      <w:r>
        <w:t xml:space="preserve">% crude protein and were milked </w:t>
      </w:r>
      <w:r w:rsidRPr="005058A5">
        <w:t>twice a day by the milking machine. The ewes were</w:t>
      </w:r>
      <w:r>
        <w:t xml:space="preserve"> synchronized for estrus </w:t>
      </w:r>
      <w:r w:rsidRPr="005058A5">
        <w:t xml:space="preserve">by insertion of </w:t>
      </w:r>
      <w:proofErr w:type="spellStart"/>
      <w:r w:rsidRPr="005058A5">
        <w:t>intravaginal</w:t>
      </w:r>
      <w:proofErr w:type="spellEnd"/>
      <w:r w:rsidRPr="005058A5">
        <w:t xml:space="preserve"> sponges containing 30mg </w:t>
      </w:r>
      <w:proofErr w:type="spellStart"/>
      <w:r w:rsidRPr="005058A5">
        <w:t>flurogestone</w:t>
      </w:r>
      <w:proofErr w:type="spellEnd"/>
      <w:r>
        <w:t xml:space="preserve"> acetate for </w:t>
      </w:r>
      <w:r w:rsidRPr="005058A5">
        <w:t>14 days. At the time of sponge removal eac</w:t>
      </w:r>
      <w:r>
        <w:t xml:space="preserve">h ewe was administered </w:t>
      </w:r>
      <w:proofErr w:type="spellStart"/>
      <w:proofErr w:type="gramStart"/>
      <w:r>
        <w:t>eCG</w:t>
      </w:r>
      <w:proofErr w:type="spellEnd"/>
      <w:proofErr w:type="gramEnd"/>
      <w:r>
        <w:t xml:space="preserve"> (600 </w:t>
      </w:r>
      <w:r w:rsidRPr="005058A5">
        <w:t>IU).</w:t>
      </w:r>
      <w:r>
        <w:t xml:space="preserve"> </w:t>
      </w:r>
      <w:r w:rsidRPr="005058A5">
        <w:t xml:space="preserve">All </w:t>
      </w:r>
      <w:proofErr w:type="spellStart"/>
      <w:r w:rsidRPr="005058A5">
        <w:t>ewes</w:t>
      </w:r>
      <w:proofErr w:type="spellEnd"/>
      <w:r w:rsidRPr="005058A5">
        <w:t xml:space="preserve"> were inseminated twice with fresh semen into the external </w:t>
      </w:r>
      <w:proofErr w:type="spellStart"/>
      <w:r w:rsidRPr="005058A5">
        <w:t>os</w:t>
      </w:r>
      <w:proofErr w:type="spellEnd"/>
      <w:r>
        <w:t xml:space="preserve"> of </w:t>
      </w:r>
      <w:r w:rsidRPr="005058A5">
        <w:t>the cervix at</w:t>
      </w:r>
      <w:r>
        <w:t xml:space="preserve"> </w:t>
      </w:r>
      <w:r w:rsidRPr="005058A5">
        <w:t>48 and 56 h after sponge remov</w:t>
      </w:r>
      <w:r>
        <w:t xml:space="preserve">al. The day of insemination was </w:t>
      </w:r>
      <w:r w:rsidRPr="005058A5">
        <w:t>considered as Day 0 for</w:t>
      </w:r>
      <w:r>
        <w:t xml:space="preserve"> </w:t>
      </w:r>
      <w:r w:rsidRPr="005058A5">
        <w:t>calculating the ge</w:t>
      </w:r>
      <w:r>
        <w:t xml:space="preserve">stational period. Blood samples </w:t>
      </w:r>
      <w:r w:rsidRPr="005058A5">
        <w:t>were collected from each ewe at Days</w:t>
      </w:r>
      <w:r>
        <w:t xml:space="preserve"> 0, 18 for measurement of PUN </w:t>
      </w:r>
      <w:r w:rsidRPr="005058A5">
        <w:t>concentrations and at Day 22 after AI for measurement of</w:t>
      </w:r>
      <w:r>
        <w:t xml:space="preserve"> pregnancy </w:t>
      </w:r>
      <w:r w:rsidRPr="005058A5">
        <w:t>associated glycoprotein (PAG) by radio</w:t>
      </w:r>
      <w:r>
        <w:t xml:space="preserve">immunoassay (RIA). Thirty-eight </w:t>
      </w:r>
      <w:r w:rsidRPr="005058A5">
        <w:t>ewes</w:t>
      </w:r>
      <w:r>
        <w:t xml:space="preserve"> </w:t>
      </w:r>
      <w:r w:rsidRPr="005058A5">
        <w:t>(20.5%) were confirmed pregnant by PAG–</w:t>
      </w:r>
      <w:r>
        <w:t xml:space="preserve">RIA test at Day 22 and by </w:t>
      </w:r>
      <w:r w:rsidRPr="005058A5">
        <w:t>ultrasonography at</w:t>
      </w:r>
      <w:r>
        <w:t xml:space="preserve"> </w:t>
      </w:r>
      <w:r w:rsidRPr="005058A5">
        <w:t>Day 80. The mean (±S.</w:t>
      </w:r>
      <w:r>
        <w:t xml:space="preserve">D.) concentration of PUN in all </w:t>
      </w:r>
      <w:r w:rsidRPr="005058A5">
        <w:t xml:space="preserve">ewes at Day 0 was 12.7±4.6 </w:t>
      </w:r>
      <w:proofErr w:type="spellStart"/>
      <w:r w:rsidRPr="005058A5">
        <w:t>mmol</w:t>
      </w:r>
      <w:proofErr w:type="spellEnd"/>
      <w:r w:rsidRPr="005058A5">
        <w:t>/L.</w:t>
      </w:r>
      <w:r>
        <w:t xml:space="preserve"> </w:t>
      </w:r>
      <w:r w:rsidRPr="005058A5">
        <w:t>There w</w:t>
      </w:r>
      <w:r>
        <w:t xml:space="preserve">ere non-significant differences </w:t>
      </w:r>
      <w:r w:rsidRPr="005058A5">
        <w:t xml:space="preserve">in the level of PUN between pregnant and </w:t>
      </w:r>
      <w:proofErr w:type="spellStart"/>
      <w:r w:rsidRPr="005058A5">
        <w:t>nonpregnant</w:t>
      </w:r>
      <w:proofErr w:type="spellEnd"/>
      <w:r>
        <w:t xml:space="preserve"> ewes at Days 0 </w:t>
      </w:r>
      <w:r w:rsidRPr="005058A5">
        <w:t xml:space="preserve">(12.2±4.2 </w:t>
      </w:r>
      <w:proofErr w:type="spellStart"/>
      <w:r w:rsidRPr="005058A5">
        <w:t>mmol</w:t>
      </w:r>
      <w:proofErr w:type="spellEnd"/>
      <w:r w:rsidRPr="005058A5">
        <w:t xml:space="preserve">/L vs. 12.8±4.7 </w:t>
      </w:r>
      <w:proofErr w:type="spellStart"/>
      <w:r w:rsidRPr="005058A5">
        <w:t>mmol</w:t>
      </w:r>
      <w:proofErr w:type="spellEnd"/>
      <w:r w:rsidRPr="005058A5">
        <w:t>/L, respectively) and 18</w:t>
      </w:r>
      <w:r>
        <w:t xml:space="preserve"> </w:t>
      </w:r>
      <w:r w:rsidRPr="005058A5">
        <w:t>(9.6±</w:t>
      </w:r>
      <w:r>
        <w:t xml:space="preserve">2.9 </w:t>
      </w:r>
      <w:proofErr w:type="spellStart"/>
      <w:r w:rsidRPr="005058A5">
        <w:t>mmol</w:t>
      </w:r>
      <w:proofErr w:type="spellEnd"/>
      <w:r w:rsidRPr="005058A5">
        <w:t xml:space="preserve">/L vs. 10.4±4.0 </w:t>
      </w:r>
      <w:proofErr w:type="spellStart"/>
      <w:r w:rsidRPr="005058A5">
        <w:t>mmol</w:t>
      </w:r>
      <w:proofErr w:type="spellEnd"/>
      <w:r w:rsidRPr="005058A5">
        <w:t>/L, respectively) after AI. Mean PU</w:t>
      </w:r>
      <w:r>
        <w:t xml:space="preserve">N </w:t>
      </w:r>
      <w:r w:rsidRPr="005058A5">
        <w:t>concentrations</w:t>
      </w:r>
      <w:r>
        <w:t xml:space="preserve"> </w:t>
      </w:r>
      <w:r w:rsidRPr="005058A5">
        <w:t>decreased significantly from D</w:t>
      </w:r>
      <w:r>
        <w:t xml:space="preserve">ay 0 to Day 18 after AI in both </w:t>
      </w:r>
      <w:r w:rsidRPr="005058A5">
        <w:t>pregnant and non-pregnant</w:t>
      </w:r>
      <w:r>
        <w:t xml:space="preserve"> </w:t>
      </w:r>
      <w:r w:rsidRPr="005058A5">
        <w:t>ewes. By using logi</w:t>
      </w:r>
      <w:r>
        <w:t xml:space="preserve">stic regression analysis, there </w:t>
      </w:r>
      <w:r w:rsidRPr="005058A5">
        <w:t>was no effect of PUN concentrations on the</w:t>
      </w:r>
      <w:r>
        <w:t xml:space="preserve"> probability of pregnancy </w:t>
      </w:r>
      <w:r w:rsidRPr="005058A5">
        <w:t>occurrence in the studied ewes (odds ratio: 0.97; 95% confidence</w:t>
      </w:r>
      <w:r>
        <w:t xml:space="preserve"> interval: </w:t>
      </w:r>
      <w:r w:rsidRPr="005058A5">
        <w:t>0.9–1.05; P = 0.45). In conclusion, there wa</w:t>
      </w:r>
      <w:r>
        <w:t xml:space="preserve">s no evidence of a relationship </w:t>
      </w:r>
      <w:r w:rsidRPr="005058A5">
        <w:t>between</w:t>
      </w:r>
      <w:r>
        <w:t xml:space="preserve"> </w:t>
      </w:r>
      <w:r w:rsidRPr="005058A5">
        <w:t xml:space="preserve">PUN concentration and pregnancy rate for lactating </w:t>
      </w:r>
      <w:proofErr w:type="spellStart"/>
      <w:r w:rsidRPr="005058A5">
        <w:t>Awassi×</w:t>
      </w:r>
      <w:r>
        <w:t>Merino</w:t>
      </w:r>
      <w:proofErr w:type="spellEnd"/>
      <w:r>
        <w:t xml:space="preserve"> </w:t>
      </w:r>
      <w:r w:rsidRPr="005058A5">
        <w:t>ewes in the present</w:t>
      </w:r>
      <w:r>
        <w:t xml:space="preserve"> </w:t>
      </w:r>
      <w:r w:rsidRPr="005058A5">
        <w:t>study because of low pregnancy rate observed.</w:t>
      </w:r>
      <w:r>
        <w:t xml:space="preserve">  </w:t>
      </w:r>
    </w:p>
    <w:p w:rsidR="00814A9D" w:rsidRDefault="006178CE" w:rsidP="006178CE">
      <w:pPr>
        <w:rPr>
          <w:rFonts w:hint="cs"/>
          <w:lang w:bidi="ar-EG"/>
        </w:rPr>
      </w:pPr>
      <w:r>
        <w:br w:type="page"/>
      </w:r>
    </w:p>
    <w:sectPr w:rsidR="00814A9D" w:rsidSect="008804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liver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CE"/>
    <w:rsid w:val="001C0638"/>
    <w:rsid w:val="006178CE"/>
    <w:rsid w:val="008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</dc:creator>
  <cp:lastModifiedBy>KFS</cp:lastModifiedBy>
  <cp:revision>1</cp:revision>
  <dcterms:created xsi:type="dcterms:W3CDTF">2014-03-19T10:20:00Z</dcterms:created>
  <dcterms:modified xsi:type="dcterms:W3CDTF">2014-03-19T10:20:00Z</dcterms:modified>
</cp:coreProperties>
</file>